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firstLine="5120" w:firstLineChars="1600"/>
        <w:rPr>
          <w:rFonts w:ascii="仿宋" w:hAnsi="仿宋" w:eastAsia="仿宋" w:cs="仿宋"/>
          <w:color w:val="000000" w:themeColor="text1"/>
          <w:sz w:val="32"/>
          <w:szCs w:val="32"/>
        </w:rPr>
      </w:pPr>
    </w:p>
    <w:p>
      <w:pPr>
        <w:jc w:val="left"/>
        <w:rPr>
          <w:rFonts w:ascii="方正小标宋简体" w:hAnsi="仿宋" w:eastAsia="方正小标宋简体" w:cs="仿宋"/>
          <w:color w:val="000000"/>
          <w:sz w:val="28"/>
          <w:szCs w:val="28"/>
        </w:rPr>
      </w:pPr>
    </w:p>
    <w:p/>
    <w:p>
      <w:pPr>
        <w:jc w:val="left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附件5</w:t>
      </w:r>
    </w:p>
    <w:p>
      <w:pPr>
        <w:autoSpaceDE w:val="0"/>
        <w:autoSpaceDN w:val="0"/>
        <w:spacing w:line="6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药品存储温湿度在线监管系统（监管端）</w:t>
      </w:r>
    </w:p>
    <w:p>
      <w:pPr>
        <w:autoSpaceDE w:val="0"/>
        <w:autoSpaceDN w:val="0"/>
        <w:spacing w:line="240" w:lineRule="exact"/>
        <w:jc w:val="center"/>
        <w:rPr>
          <w:rFonts w:ascii="汉仪雪君体简" w:eastAsia="汉仪雪君体简"/>
          <w:sz w:val="72"/>
          <w:szCs w:val="72"/>
        </w:rPr>
      </w:pP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简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易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操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作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手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册</w:t>
      </w:r>
    </w:p>
    <w:p>
      <w:pPr>
        <w:autoSpaceDE w:val="0"/>
        <w:autoSpaceDN w:val="0"/>
        <w:jc w:val="center"/>
        <w:rPr>
          <w:rFonts w:ascii="汉仪雪君体简" w:eastAsia="汉仪雪君体简"/>
          <w:sz w:val="84"/>
          <w:szCs w:val="84"/>
        </w:rPr>
      </w:pP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2</w:t>
      </w:r>
      <w:r>
        <w:rPr>
          <w:rFonts w:ascii="方正小标宋简体" w:hAnsi="仿宋" w:eastAsia="方正小标宋简体" w:cs="仿宋"/>
          <w:color w:val="000000"/>
          <w:sz w:val="44"/>
          <w:szCs w:val="44"/>
        </w:rPr>
        <w:t>021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年</w:t>
      </w:r>
    </w:p>
    <w:p>
      <w:pPr>
        <w:autoSpaceDE w:val="0"/>
        <w:autoSpaceDN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>
      <w:pPr>
        <w:autoSpaceDE w:val="0"/>
        <w:autoSpaceDN w:val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6"/>
        <w:jc w:val="center"/>
        <w:rPr>
          <w:rFonts w:ascii="方正小标宋简体" w:eastAsia="方正小标宋简体"/>
          <w:sz w:val="44"/>
          <w:szCs w:val="44"/>
          <w:lang w:val="zh-CN"/>
        </w:rPr>
      </w:pPr>
      <w:r>
        <w:rPr>
          <w:rFonts w:hint="eastAsia" w:ascii="方正小标宋简体" w:eastAsia="方正小标宋简体"/>
          <w:sz w:val="44"/>
          <w:szCs w:val="44"/>
          <w:lang w:val="zh-CN"/>
        </w:rPr>
        <w:t>目  录</w:t>
      </w:r>
    </w:p>
    <w:p>
      <w:pPr>
        <w:rPr>
          <w:lang w:val="zh-CN"/>
        </w:rPr>
      </w:pPr>
    </w:p>
    <w:p>
      <w:pPr>
        <w:rPr>
          <w:lang w:val="zh-CN"/>
        </w:rPr>
      </w:pPr>
    </w:p>
    <w:p>
      <w:pPr>
        <w:rPr>
          <w:lang w:val="zh-CN"/>
        </w:rPr>
      </w:pPr>
    </w:p>
    <w:p>
      <w:pPr>
        <w:pStyle w:val="10"/>
        <w:tabs>
          <w:tab w:val="left" w:pos="840"/>
          <w:tab w:val="right" w:leader="dot" w:pos="8296"/>
        </w:tabs>
        <w:rPr>
          <w:kern w:val="2"/>
          <w:sz w:val="32"/>
          <w:szCs w:val="32"/>
        </w:rPr>
      </w:pPr>
      <w:r>
        <w:rPr>
          <w:rFonts w:ascii="华文楷体" w:hAnsi="华文楷体" w:eastAsia="华文楷体"/>
          <w:sz w:val="32"/>
          <w:szCs w:val="32"/>
        </w:rPr>
        <w:fldChar w:fldCharType="begin"/>
      </w:r>
      <w:r>
        <w:rPr>
          <w:rFonts w:ascii="华文楷体" w:hAnsi="华文楷体" w:eastAsia="华文楷体"/>
          <w:sz w:val="32"/>
          <w:szCs w:val="32"/>
        </w:rPr>
        <w:instrText xml:space="preserve"> TOC \o "1-3" \h \z \u </w:instrText>
      </w:r>
      <w:r>
        <w:rPr>
          <w:rFonts w:ascii="华文楷体" w:hAnsi="华文楷体" w:eastAsia="华文楷体"/>
          <w:sz w:val="32"/>
          <w:szCs w:val="32"/>
        </w:rPr>
        <w:fldChar w:fldCharType="separate"/>
      </w:r>
      <w:r>
        <w:fldChar w:fldCharType="begin"/>
      </w:r>
      <w:r>
        <w:instrText xml:space="preserve"> HYPERLINK \l "_Toc294623522" </w:instrText>
      </w:r>
      <w:r>
        <w:fldChar w:fldCharType="separate"/>
      </w:r>
      <w:r>
        <w:rPr>
          <w:rStyle w:val="18"/>
          <w:rFonts w:hint="eastAsia"/>
          <w:sz w:val="32"/>
          <w:szCs w:val="32"/>
        </w:rPr>
        <w:t>一、</w:t>
      </w:r>
      <w:r>
        <w:rPr>
          <w:kern w:val="2"/>
          <w:sz w:val="32"/>
          <w:szCs w:val="32"/>
        </w:rPr>
        <w:tab/>
      </w:r>
      <w:r>
        <w:rPr>
          <w:rStyle w:val="18"/>
          <w:rFonts w:hint="eastAsia"/>
          <w:sz w:val="32"/>
          <w:szCs w:val="32"/>
        </w:rPr>
        <w:t>系统登录</w:t>
      </w:r>
      <w:bookmarkStart w:id="0" w:name="_Hlt294702861"/>
      <w:r>
        <w:rPr>
          <w:sz w:val="32"/>
          <w:szCs w:val="32"/>
        </w:rPr>
        <w:tab/>
      </w:r>
      <w:bookmarkEnd w:id="0"/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_Toc294623522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1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10"/>
        <w:tabs>
          <w:tab w:val="left" w:pos="840"/>
          <w:tab w:val="right" w:leader="dot" w:pos="8296"/>
        </w:tabs>
        <w:rPr>
          <w:kern w:val="2"/>
          <w:sz w:val="32"/>
          <w:szCs w:val="32"/>
        </w:rPr>
      </w:pPr>
      <w:r>
        <w:fldChar w:fldCharType="begin"/>
      </w:r>
      <w:r>
        <w:instrText xml:space="preserve"> HYPERLINK \l "_Toc294623523" </w:instrText>
      </w:r>
      <w:r>
        <w:fldChar w:fldCharType="separate"/>
      </w:r>
      <w:r>
        <w:rPr>
          <w:rStyle w:val="18"/>
          <w:rFonts w:hint="eastAsia"/>
          <w:sz w:val="32"/>
          <w:szCs w:val="32"/>
        </w:rPr>
        <w:t>二、</w:t>
      </w:r>
      <w:r>
        <w:rPr>
          <w:kern w:val="2"/>
          <w:sz w:val="32"/>
          <w:szCs w:val="32"/>
        </w:rPr>
        <w:tab/>
      </w:r>
      <w:r>
        <w:rPr>
          <w:rStyle w:val="18"/>
          <w:rFonts w:hint="eastAsia"/>
          <w:sz w:val="32"/>
          <w:szCs w:val="32"/>
        </w:rPr>
        <w:t>系统管理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_Toc294623523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2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10"/>
        <w:tabs>
          <w:tab w:val="left" w:pos="840"/>
          <w:tab w:val="right" w:leader="dot" w:pos="8296"/>
        </w:tabs>
        <w:rPr>
          <w:kern w:val="2"/>
          <w:sz w:val="32"/>
          <w:szCs w:val="32"/>
        </w:rPr>
      </w:pPr>
      <w:r>
        <w:fldChar w:fldCharType="begin"/>
      </w:r>
      <w:r>
        <w:instrText xml:space="preserve"> HYPERLINK \l "_Toc294623524" </w:instrText>
      </w:r>
      <w:r>
        <w:fldChar w:fldCharType="separate"/>
      </w:r>
      <w:r>
        <w:rPr>
          <w:rStyle w:val="18"/>
          <w:rFonts w:hint="eastAsia"/>
          <w:sz w:val="32"/>
          <w:szCs w:val="32"/>
        </w:rPr>
        <w:t>三、</w:t>
      </w:r>
      <w:r>
        <w:rPr>
          <w:kern w:val="2"/>
          <w:sz w:val="32"/>
          <w:szCs w:val="32"/>
        </w:rPr>
        <w:tab/>
      </w:r>
      <w:r>
        <w:rPr>
          <w:rStyle w:val="18"/>
          <w:rFonts w:hint="eastAsia"/>
          <w:sz w:val="32"/>
          <w:szCs w:val="32"/>
        </w:rPr>
        <w:t>设备报停</w:t>
      </w:r>
      <w:r>
        <w:rPr>
          <w:sz w:val="32"/>
          <w:szCs w:val="32"/>
        </w:rPr>
        <w:tab/>
      </w:r>
      <w:r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fldChar w:fldCharType="end"/>
      </w:r>
    </w:p>
    <w:p>
      <w:pPr>
        <w:pStyle w:val="10"/>
        <w:tabs>
          <w:tab w:val="left" w:pos="840"/>
          <w:tab w:val="right" w:leader="dot" w:pos="8296"/>
        </w:tabs>
        <w:rPr>
          <w:kern w:val="2"/>
          <w:sz w:val="32"/>
          <w:szCs w:val="32"/>
        </w:rPr>
      </w:pPr>
      <w:r>
        <w:fldChar w:fldCharType="begin"/>
      </w:r>
      <w:r>
        <w:instrText xml:space="preserve"> HYPERLINK \l "_Toc294623525" </w:instrText>
      </w:r>
      <w:r>
        <w:fldChar w:fldCharType="separate"/>
      </w:r>
      <w:r>
        <w:rPr>
          <w:rStyle w:val="18"/>
          <w:rFonts w:hint="eastAsia"/>
          <w:sz w:val="32"/>
          <w:szCs w:val="32"/>
        </w:rPr>
        <w:t>四、</w:t>
      </w:r>
      <w:r>
        <w:rPr>
          <w:kern w:val="2"/>
          <w:sz w:val="32"/>
          <w:szCs w:val="32"/>
        </w:rPr>
        <w:tab/>
      </w:r>
      <w:r>
        <w:rPr>
          <w:rStyle w:val="18"/>
          <w:rFonts w:hint="eastAsia"/>
          <w:sz w:val="32"/>
          <w:szCs w:val="32"/>
        </w:rPr>
        <w:t>整改通知书</w:t>
      </w:r>
      <w:r>
        <w:rPr>
          <w:sz w:val="32"/>
          <w:szCs w:val="32"/>
        </w:rPr>
        <w:tab/>
      </w:r>
      <w:r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fldChar w:fldCharType="end"/>
      </w:r>
    </w:p>
    <w:p>
      <w:pPr>
        <w:pStyle w:val="10"/>
        <w:tabs>
          <w:tab w:val="left" w:pos="840"/>
          <w:tab w:val="right" w:leader="dot" w:pos="8296"/>
        </w:tabs>
        <w:rPr>
          <w:kern w:val="2"/>
          <w:sz w:val="32"/>
          <w:szCs w:val="32"/>
        </w:rPr>
      </w:pPr>
      <w:r>
        <w:fldChar w:fldCharType="begin"/>
      </w:r>
      <w:r>
        <w:instrText xml:space="preserve"> HYPERLINK \l "_Toc294623526" </w:instrText>
      </w:r>
      <w:r>
        <w:fldChar w:fldCharType="separate"/>
      </w:r>
      <w:r>
        <w:rPr>
          <w:rStyle w:val="18"/>
          <w:rFonts w:hint="eastAsia"/>
          <w:sz w:val="32"/>
          <w:szCs w:val="32"/>
        </w:rPr>
        <w:t>五、</w:t>
      </w:r>
      <w:r>
        <w:rPr>
          <w:kern w:val="2"/>
          <w:sz w:val="32"/>
          <w:szCs w:val="32"/>
        </w:rPr>
        <w:tab/>
      </w:r>
      <w:r>
        <w:rPr>
          <w:rStyle w:val="18"/>
          <w:rFonts w:hint="eastAsia"/>
          <w:sz w:val="32"/>
          <w:szCs w:val="32"/>
        </w:rPr>
        <w:t>冷链上报</w:t>
      </w:r>
      <w:r>
        <w:rPr>
          <w:sz w:val="32"/>
          <w:szCs w:val="32"/>
        </w:rPr>
        <w:tab/>
      </w:r>
      <w:r>
        <w:rPr>
          <w:rFonts w:hint="eastAsia"/>
          <w:sz w:val="32"/>
          <w:szCs w:val="32"/>
        </w:rPr>
        <w:t>7</w:t>
      </w:r>
      <w:r>
        <w:rPr>
          <w:rFonts w:hint="eastAsia"/>
          <w:sz w:val="32"/>
          <w:szCs w:val="32"/>
        </w:rPr>
        <w:fldChar w:fldCharType="end"/>
      </w:r>
    </w:p>
    <w:p>
      <w:pPr>
        <w:pStyle w:val="10"/>
        <w:tabs>
          <w:tab w:val="left" w:pos="840"/>
          <w:tab w:val="right" w:leader="dot" w:pos="8296"/>
        </w:tabs>
        <w:rPr>
          <w:kern w:val="2"/>
          <w:sz w:val="32"/>
          <w:szCs w:val="32"/>
        </w:rPr>
      </w:pPr>
      <w:r>
        <w:fldChar w:fldCharType="begin"/>
      </w:r>
      <w:r>
        <w:instrText xml:space="preserve"> HYPERLINK \l "_Toc294623527" </w:instrText>
      </w:r>
      <w:r>
        <w:fldChar w:fldCharType="separate"/>
      </w:r>
      <w:r>
        <w:rPr>
          <w:rStyle w:val="18"/>
          <w:rFonts w:hint="eastAsia"/>
          <w:sz w:val="32"/>
          <w:szCs w:val="32"/>
        </w:rPr>
        <w:t>六、</w:t>
      </w:r>
      <w:r>
        <w:rPr>
          <w:kern w:val="2"/>
          <w:sz w:val="32"/>
          <w:szCs w:val="32"/>
        </w:rPr>
        <w:tab/>
      </w:r>
      <w:r>
        <w:rPr>
          <w:rStyle w:val="18"/>
          <w:rFonts w:hint="eastAsia"/>
          <w:sz w:val="32"/>
          <w:szCs w:val="32"/>
        </w:rPr>
        <w:t>上传监控点布局图</w:t>
      </w:r>
      <w:r>
        <w:rPr>
          <w:sz w:val="32"/>
          <w:szCs w:val="32"/>
        </w:rPr>
        <w:tab/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fldChar w:fldCharType="end"/>
      </w:r>
    </w:p>
    <w:p>
      <w:pPr>
        <w:pStyle w:val="10"/>
        <w:tabs>
          <w:tab w:val="left" w:pos="840"/>
          <w:tab w:val="right" w:leader="dot" w:pos="8296"/>
        </w:tabs>
        <w:rPr>
          <w:kern w:val="2"/>
          <w:sz w:val="32"/>
          <w:szCs w:val="32"/>
        </w:rPr>
      </w:pPr>
      <w:r>
        <w:fldChar w:fldCharType="begin"/>
      </w:r>
      <w:r>
        <w:instrText xml:space="preserve"> HYPERLINK \l "_Toc294623528" </w:instrText>
      </w:r>
      <w:r>
        <w:fldChar w:fldCharType="separate"/>
      </w:r>
      <w:r>
        <w:rPr>
          <w:rStyle w:val="18"/>
          <w:rFonts w:hint="eastAsia"/>
          <w:sz w:val="32"/>
          <w:szCs w:val="32"/>
        </w:rPr>
        <w:t>七、</w:t>
      </w:r>
      <w:r>
        <w:rPr>
          <w:kern w:val="2"/>
          <w:sz w:val="32"/>
          <w:szCs w:val="32"/>
        </w:rPr>
        <w:tab/>
      </w:r>
      <w:r>
        <w:rPr>
          <w:rStyle w:val="18"/>
          <w:rFonts w:hint="eastAsia"/>
          <w:sz w:val="32"/>
          <w:szCs w:val="32"/>
        </w:rPr>
        <w:t>统计查询</w:t>
      </w:r>
      <w:r>
        <w:rPr>
          <w:sz w:val="32"/>
          <w:szCs w:val="32"/>
        </w:rPr>
        <w:tab/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fldChar w:fldCharType="end"/>
      </w:r>
    </w:p>
    <w:p>
      <w:pPr>
        <w:pStyle w:val="10"/>
        <w:tabs>
          <w:tab w:val="left" w:pos="840"/>
          <w:tab w:val="right" w:leader="dot" w:pos="8296"/>
        </w:tabs>
        <w:rPr>
          <w:kern w:val="2"/>
          <w:sz w:val="32"/>
          <w:szCs w:val="32"/>
        </w:rPr>
      </w:pPr>
      <w:r>
        <w:fldChar w:fldCharType="begin"/>
      </w:r>
      <w:r>
        <w:instrText xml:space="preserve"> HYPERLINK \l "_Toc294623529" </w:instrText>
      </w:r>
      <w:r>
        <w:fldChar w:fldCharType="separate"/>
      </w:r>
      <w:r>
        <w:rPr>
          <w:rStyle w:val="18"/>
          <w:rFonts w:hint="eastAsia"/>
          <w:sz w:val="32"/>
          <w:szCs w:val="32"/>
        </w:rPr>
        <w:t>八、</w:t>
      </w:r>
      <w:r>
        <w:rPr>
          <w:kern w:val="2"/>
          <w:sz w:val="32"/>
          <w:szCs w:val="32"/>
        </w:rPr>
        <w:tab/>
      </w:r>
      <w:r>
        <w:rPr>
          <w:rStyle w:val="18"/>
          <w:rFonts w:hint="eastAsia"/>
          <w:sz w:val="32"/>
          <w:szCs w:val="32"/>
        </w:rPr>
        <w:t>说明</w:t>
      </w:r>
      <w:r>
        <w:rPr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PAGEREF _Toc294623529 \h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12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rPr>
          <w:rFonts w:ascii="华文楷体" w:hAnsi="华文楷体" w:eastAsia="华文楷体"/>
          <w:sz w:val="32"/>
          <w:szCs w:val="32"/>
        </w:rPr>
        <w:sectPr>
          <w:footerReference r:id="rId3" w:type="default"/>
          <w:pgSz w:w="11906" w:h="16838"/>
          <w:pgMar w:top="1440" w:right="1800" w:bottom="1276" w:left="1800" w:header="851" w:footer="992" w:gutter="0"/>
          <w:cols w:space="425" w:num="1"/>
          <w:docGrid w:type="lines" w:linePitch="312" w:charSpace="0"/>
        </w:sectPr>
      </w:pPr>
      <w:r>
        <w:rPr>
          <w:rFonts w:ascii="华文楷体" w:hAnsi="华文楷体" w:eastAsia="华文楷体"/>
          <w:sz w:val="32"/>
          <w:szCs w:val="32"/>
        </w:rPr>
        <w:fldChar w:fldCharType="end"/>
      </w:r>
    </w:p>
    <w:p>
      <w:pPr>
        <w:autoSpaceDE w:val="0"/>
        <w:autoSpaceDN w:val="0"/>
        <w:spacing w:line="660" w:lineRule="exact"/>
        <w:ind w:firstLine="560" w:firstLineChars="200"/>
        <w:outlineLvl w:val="0"/>
        <w:rPr>
          <w:rFonts w:ascii="黑体" w:hAnsi="黑体" w:eastAsia="黑体" w:cs="黑体"/>
          <w:bCs/>
          <w:sz w:val="28"/>
          <w:szCs w:val="28"/>
        </w:rPr>
      </w:pPr>
      <w:bookmarkStart w:id="1" w:name="_Toc294623522"/>
      <w:r>
        <w:rPr>
          <w:rFonts w:hint="eastAsia" w:ascii="黑体" w:hAnsi="黑体" w:eastAsia="黑体" w:cs="黑体"/>
          <w:bCs/>
          <w:sz w:val="28"/>
          <w:szCs w:val="28"/>
        </w:rPr>
        <w:t>一、系统登录</w:t>
      </w:r>
      <w:bookmarkEnd w:id="1"/>
    </w:p>
    <w:p>
      <w:pPr>
        <w:tabs>
          <w:tab w:val="left" w:pos="540"/>
        </w:tabs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USB-KEY的安装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ascii="Times New Roman" w:hAnsi="Times New Roman" w:eastAsia="仿宋_GB2312" w:cs="Times New Roman"/>
          <w:sz w:val="32"/>
          <w:szCs w:val="32"/>
          <w:highlight w:val="yellow"/>
        </w:rPr>
        <w:t>1.1 将USB-KEY插入Windows系统电脑usb口，USB-KEY尾部黄绿色灯会常亮。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highlight w:val="yellow"/>
        </w:rPr>
        <w:t xml:space="preserve">1.2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yellow"/>
        </w:rPr>
        <w:t>打开电脑文件资源管理器，可查看到已连接到电脑上的</w:t>
      </w:r>
      <w:r>
        <w:rPr>
          <w:rFonts w:ascii="Times New Roman" w:hAnsi="Times New Roman" w:eastAsia="仿宋_GB2312" w:cs="Times New Roman"/>
          <w:sz w:val="32"/>
          <w:szCs w:val="32"/>
          <w:highlight w:val="yellow"/>
        </w:rPr>
        <w:t>USB-KEY，双击运行红框选中的驱动器，电脑会自动安装USB_KEY驱动。</w:t>
      </w:r>
    </w:p>
    <w:p>
      <w:pPr>
        <w:autoSpaceDE w:val="0"/>
        <w:autoSpaceDN w:val="0"/>
        <w:rPr>
          <w:sz w:val="24"/>
        </w:rPr>
      </w:pPr>
      <w:r>
        <w:rPr>
          <w:sz w:val="24"/>
          <w:highlight w:val="yellow"/>
        </w:rPr>
        <w:drawing>
          <wp:inline distT="0" distB="0" distL="0" distR="0">
            <wp:extent cx="5227320" cy="26504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jc w:val="center"/>
        <w:rPr>
          <w:sz w:val="24"/>
        </w:rPr>
      </w:pPr>
      <w:r>
        <w:rPr>
          <w:rFonts w:hint="eastAsia"/>
          <w:sz w:val="24"/>
        </w:rPr>
        <w:t>图1-1-1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注：以上操作步骤仅限于在从未使用过省局各业务系统的电脑上操作，如果是已经可以登录省局业务子系统（如行政审批系统、特殊药品监管系统等）之一的电脑，则也直接登录温湿度在线监管系统。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2、IE设置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2.1 确保您的IE浏览器版本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在8.0以上。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2.2 打开IE浏览器，选择菜单栏上的“工具 → Internet选项 → 安全 → 可信站点”（如图1-2-1），然后单击“站点”按钮，在弹出窗口中将“对该区域中的所有站点要求服务器验（https:）（S）”项的勾去掉（如图1-2-2）。然后在“将该网站添加到区域”项中输入“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"http://wsdjg.zjfda.gov.cn" </w:instrText>
      </w:r>
      <w:r>
        <w:rPr>
          <w:highlight w:val="none"/>
        </w:rPr>
        <w:fldChar w:fldCharType="separate"/>
      </w:r>
      <w:r>
        <w:rPr>
          <w:rStyle w:val="18"/>
          <w:rFonts w:ascii="Times New Roman" w:hAnsi="Times New Roman" w:eastAsia="仿宋_GB2312" w:cs="Times New Roman"/>
          <w:sz w:val="32"/>
          <w:szCs w:val="32"/>
          <w:highlight w:val="none"/>
        </w:rPr>
        <w:t>http://wsdjg.zjfda.gov.cn</w:t>
      </w:r>
      <w:r>
        <w:rPr>
          <w:rStyle w:val="18"/>
          <w:rFonts w:ascii="Times New Roman" w:hAnsi="Times New Roman" w:eastAsia="仿宋_GB2312" w:cs="Times New Roman"/>
          <w:sz w:val="32"/>
          <w:szCs w:val="32"/>
          <w:highlight w:val="none"/>
        </w:rPr>
        <w:fldChar w:fldCharType="end"/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”</w:t>
      </w:r>
      <w:r>
        <w:rPr>
          <w:rFonts w:hint="eastAsia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（也可以直接输入“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*.zjfda.gov.cn”），并点击添加按钮。最后点击“关闭”</w:t>
      </w:r>
      <w:r>
        <w:rPr>
          <w:rFonts w:ascii="Times New Roman" w:hAnsi="Times New Roman" w:eastAsia="仿宋_GB2312" w:cs="Times New Roman"/>
          <w:sz w:val="32"/>
          <w:szCs w:val="32"/>
        </w:rPr>
        <w:t>和“确定”按钮直到退出属性设定界面。</w:t>
      </w:r>
    </w:p>
    <w:p>
      <w:pPr>
        <w:autoSpaceDE w:val="0"/>
        <w:autoSpaceDN w:val="0"/>
        <w:rPr>
          <w:sz w:val="24"/>
        </w:rPr>
      </w:pPr>
      <w:r>
        <w:rPr>
          <w:sz w:val="24"/>
        </w:rPr>
        <w:drawing>
          <wp:inline distT="0" distB="0" distL="114300" distR="114300">
            <wp:extent cx="2608580" cy="2904490"/>
            <wp:effectExtent l="0" t="0" r="0" b="0"/>
            <wp:docPr id="8" name="图片 2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2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6377" cy="2913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ind w:firstLine="1280" w:firstLineChars="400"/>
        <w:rPr>
          <w:rFonts w:hint="eastAsia"/>
          <w:sz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图1-2-1</w:t>
      </w:r>
    </w:p>
    <w:p>
      <w:pPr>
        <w:autoSpaceDE w:val="0"/>
        <w:autoSpaceDN w:val="0"/>
        <w:rPr>
          <w:sz w:val="24"/>
        </w:rPr>
      </w:pPr>
      <w:r>
        <w:rPr>
          <w:sz w:val="24"/>
        </w:rPr>
        <w:drawing>
          <wp:inline distT="0" distB="0" distL="114300" distR="114300">
            <wp:extent cx="2702560" cy="2962910"/>
            <wp:effectExtent l="0" t="0" r="0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3415" cy="296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ind w:firstLine="1600" w:firstLineChars="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图1-2-2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3、登录系统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3.1 确保登录系统前，USB-KEY已连接至电脑。</w:t>
      </w:r>
    </w:p>
    <w:p>
      <w:pPr>
        <w:autoSpaceDE w:val="0"/>
        <w:autoSpaceDN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3.2 在IE浏览器的地址栏中输入地址：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"http://wsdjg.zjfda.gov.cn" </w:instrText>
      </w:r>
      <w:r>
        <w:rPr>
          <w:highlight w:val="none"/>
        </w:rPr>
        <w:fldChar w:fldCharType="separate"/>
      </w:r>
      <w:r>
        <w:rPr>
          <w:rStyle w:val="18"/>
          <w:rFonts w:ascii="Times New Roman" w:hAnsi="Times New Roman" w:eastAsia="仿宋_GB2312" w:cs="Times New Roman"/>
          <w:sz w:val="32"/>
          <w:szCs w:val="32"/>
          <w:highlight w:val="none"/>
        </w:rPr>
        <w:t>http://wsdjg.zjfda.gov.cn</w:t>
      </w:r>
      <w:r>
        <w:rPr>
          <w:rStyle w:val="18"/>
          <w:rFonts w:ascii="Times New Roman" w:hAnsi="Times New Roman" w:eastAsia="仿宋_GB2312" w:cs="Times New Roman"/>
          <w:sz w:val="32"/>
          <w:szCs w:val="32"/>
          <w:highlight w:val="none"/>
        </w:rPr>
        <w:fldChar w:fldCharType="end"/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，敲击回车键打开温湿度在线监管系统的登录页面。如果您已经正确安装</w:t>
      </w:r>
      <w:r>
        <w:rPr>
          <w:rFonts w:ascii="Times New Roman" w:hAnsi="Times New Roman" w:eastAsia="仿宋_GB2312" w:cs="Times New Roman"/>
          <w:sz w:val="32"/>
          <w:szCs w:val="32"/>
        </w:rPr>
        <w:t>了USB-KEY驱动，则系统会将USB-KEY中存储的用户名读出，并自动生成至用户名一栏，此时您只需要输入登录密码，单击“登录”按钮或敲击回车键便可登录系统了；如果您收到“读取U盘的程序不存在或出现错误！”的提示，则说明你未正确的安装USB-KEY的驱动，请参照本节《1、USB-KEY的安装》。</w:t>
      </w:r>
    </w:p>
    <w:p>
      <w:pPr>
        <w:autoSpaceDE w:val="0"/>
        <w:autoSpaceDN w:val="0"/>
        <w:spacing w:line="660" w:lineRule="exact"/>
        <w:ind w:firstLine="641" w:firstLineChars="200"/>
        <w:outlineLvl w:val="0"/>
        <w:rPr>
          <w:rFonts w:ascii="Times New Roman" w:hAnsi="Times New Roman" w:eastAsia="仿宋_GB2312" w:cs="Times New Roman"/>
          <w:b/>
          <w:sz w:val="32"/>
          <w:szCs w:val="32"/>
        </w:rPr>
      </w:pPr>
      <w:bookmarkStart w:id="2" w:name="_Toc294623523"/>
      <w:r>
        <w:rPr>
          <w:rFonts w:ascii="Times New Roman" w:hAnsi="Times New Roman" w:eastAsia="仿宋_GB2312" w:cs="Times New Roman"/>
          <w:b/>
          <w:sz w:val="32"/>
          <w:szCs w:val="32"/>
        </w:rPr>
        <w:t>二、系统管理</w:t>
      </w:r>
      <w:bookmarkEnd w:id="2"/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1、修改密码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单击“修改密码”（如图2-1-1），可在“修改用户信息”页面中（如图2-2-1）修改密码及其相关信息。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2058035" cy="1274445"/>
            <wp:effectExtent l="0" t="0" r="18415" b="190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58035" cy="127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（图2-1-1）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4732655" cy="1777365"/>
            <wp:effectExtent l="0" t="0" r="10795" b="13335"/>
            <wp:docPr id="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32655" cy="177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（图2-1-2）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2、企业开户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单击“系统管理”——“企业管理”（如图2-2-1），出现企业信息界面（如图2-2-2），点击“图2-2-2”中的“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824865" cy="257810"/>
            <wp:effectExtent l="0" t="0" r="13335" b="8890"/>
            <wp:docPr id="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4865" cy="25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”按钮，填入相关信息点击“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657225" cy="235585"/>
            <wp:effectExtent l="0" t="0" r="9525" b="12065"/>
            <wp:docPr id="5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23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”，经省局信息服务中心备案审核后，系统自动向企业端发送64位上报码的消息，企业登陆企业端（apply.zjfda.gov.cn）后即可查看（如图2-2-4、图2-2-5、图2-2-6）。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811655" cy="1136650"/>
            <wp:effectExtent l="0" t="0" r="17145" b="6350"/>
            <wp:docPr id="5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11655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图2-2-1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21655" cy="1826260"/>
            <wp:effectExtent l="0" t="0" r="17145" b="2540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21655" cy="18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图2-2-2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85790" cy="2023745"/>
            <wp:effectExtent l="0" t="0" r="10160" b="1460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8579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图2-2-3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5702935" cy="2030095"/>
            <wp:effectExtent l="0" t="0" r="12065" b="8255"/>
            <wp:docPr id="27" name="图片 11" descr="C:\Program Files\Tencent\QQ\Users\4377987\Image\YL6~`@3W(CWYJ}A2}S`SQ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1" descr="C:\Program Files\Tencent\QQ\Users\4377987\Image\YL6~`@3W(CWYJ}A2}S`SQ40.jp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02935" cy="203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hint="eastAsia"/>
          <w:sz w:val="24"/>
        </w:rPr>
        <w:t>图2-2-4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5593715" cy="1680210"/>
            <wp:effectExtent l="0" t="0" r="6985" b="15240"/>
            <wp:docPr id="28" name="图片 12" descr="C:\Program Files\Tencent\QQ\Users\4377987\Image\3R@3Y~537IJ8CHJC6PHG~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2" descr="C:\Program Files\Tencent\QQ\Users\4377987\Image\3R@3Y~537IJ8CHJC6PHG~9D.jp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93715" cy="168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FF0000"/>
          <w:sz w:val="24"/>
        </w:rPr>
      </w:pPr>
      <w:r>
        <w:rPr>
          <w:rFonts w:hint="eastAsia"/>
          <w:sz w:val="24"/>
        </w:rPr>
        <w:t>图2-2-5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5699760" cy="1764665"/>
            <wp:effectExtent l="0" t="0" r="15240" b="6985"/>
            <wp:docPr id="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176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图2-2-6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注：1、非市县管理员无开户权限。</w:t>
      </w:r>
    </w:p>
    <w:p>
      <w:pPr>
        <w:numPr>
          <w:ilvl w:val="0"/>
          <w:numId w:val="1"/>
        </w:numPr>
        <w:spacing w:line="660" w:lineRule="exact"/>
        <w:ind w:firstLine="1280" w:firstLineChars="4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市县根据材料录入后，把材料邮寄省局信息中</w:t>
      </w:r>
    </w:p>
    <w:p>
      <w:pPr>
        <w:spacing w:line="6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心备案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3、登录日志管理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单击“登录日志管理”（图2-3-1），进入页面查看市、县局的登录情况（图2-3-2），可通过地区和时间进行查询。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600200" cy="1000760"/>
            <wp:effectExtent l="0" t="0" r="0" b="8890"/>
            <wp:docPr id="3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0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图2-3-1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539740" cy="1702435"/>
            <wp:effectExtent l="0" t="0" r="3810" b="12065"/>
            <wp:docPr id="3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39740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图2-3-2</w:t>
      </w:r>
    </w:p>
    <w:p>
      <w:pPr>
        <w:autoSpaceDE w:val="0"/>
        <w:autoSpaceDN w:val="0"/>
        <w:ind w:left="360"/>
        <w:outlineLvl w:val="0"/>
        <w:rPr>
          <w:b/>
          <w:sz w:val="28"/>
          <w:szCs w:val="28"/>
        </w:rPr>
      </w:pPr>
      <w:bookmarkStart w:id="3" w:name="_Toc294623524"/>
    </w:p>
    <w:p>
      <w:pPr>
        <w:autoSpaceDE w:val="0"/>
        <w:autoSpaceDN w:val="0"/>
        <w:ind w:left="360"/>
        <w:outlineLvl w:val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三、设备报停</w:t>
      </w:r>
      <w:bookmarkEnd w:id="3"/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1、单击“监控设备审核”，出现“温湿度设备报停申请”，找到需报停的企业，点击“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202565" cy="213995"/>
            <wp:effectExtent l="0" t="0" r="6985" b="14605"/>
            <wp:docPr id="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2565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”按钮（图3-1-2），查看报停信息（图3-1-3），同意报停的点击“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569595" cy="208280"/>
            <wp:effectExtent l="0" t="0" r="1905" b="1270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”，不同意报停的点击“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569595" cy="169545"/>
            <wp:effectExtent l="0" t="0" r="1905" b="1905"/>
            <wp:docPr id="1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16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201420" cy="1429385"/>
            <wp:effectExtent l="0" t="0" r="17780" b="18415"/>
            <wp:docPr id="1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0142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图3-1-1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78805" cy="1812290"/>
            <wp:effectExtent l="0" t="0" r="17145" b="165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78805" cy="181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图3-1-2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54040" cy="1915795"/>
            <wp:effectExtent l="0" t="0" r="3810" b="8255"/>
            <wp:docPr id="1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54040" cy="191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图3-1-3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注：“设备报停”是根据企业的报停信息，由市、县有审核权限的人员进行审核，审核通过的，在企业报停时间不监测数据。审核不通过的，（该权限只能由市、县局管理员进行分配），企业设备需要正常上报数据。</w:t>
      </w:r>
    </w:p>
    <w:p>
      <w:pPr>
        <w:spacing w:line="6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autoSpaceDE w:val="0"/>
        <w:autoSpaceDN w:val="0"/>
        <w:spacing w:line="6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sz w:val="32"/>
          <w:szCs w:val="32"/>
        </w:rPr>
      </w:pPr>
      <w:bookmarkStart w:id="4" w:name="_Toc294623525"/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四、整改通知书</w:t>
      </w:r>
      <w:bookmarkEnd w:id="4"/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1、单击“整改通知审核”（图4-1-1），进入“温湿度整改通知书信息”页面（图4-1-2），通过查询即可查看“状态”（未接收、已接收、已反馈、已撤回），点击“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drawing>
          <wp:inline distT="0" distB="0" distL="114300" distR="114300">
            <wp:extent cx="229235" cy="209550"/>
            <wp:effectExtent l="0" t="0" r="18415" b="0"/>
            <wp:docPr id="1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923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”按钮（图4-1-2），</w:t>
      </w:r>
      <w:r>
        <w:rPr>
          <w:rFonts w:ascii="Times New Roman" w:hAnsi="Times New Roman" w:eastAsia="仿宋_GB2312" w:cs="Times New Roman"/>
          <w:sz w:val="32"/>
          <w:szCs w:val="32"/>
        </w:rPr>
        <w:t>查看整改通知书信息（图4-1-3）。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676400" cy="1084580"/>
            <wp:effectExtent l="0" t="0" r="0" b="1270"/>
            <wp:docPr id="2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8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图4-1-1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538470" cy="1558925"/>
            <wp:effectExtent l="0" t="0" r="5080" b="3175"/>
            <wp:docPr id="2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538470" cy="155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图4-1-2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00700" cy="2613025"/>
            <wp:effectExtent l="0" t="0" r="0" b="15875"/>
            <wp:docPr id="3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6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图4-1-3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注：连续6次超标，系统自动发送提醒短信给企业联系人；连续8次超标，系统自动发送提醒短信与《整改通知书》给企业。企业进入企业端进行接收确认并打印处理，企业端的操作状态在局端可通过搜索状态来查看。《整改通知书》在发送30天内的都可以撤回（撤回后对企业的信用不会有影响，由市、县局有权限的人员操作，该权限由市、县局管理员进行分配）。</w:t>
      </w:r>
    </w:p>
    <w:p>
      <w:pPr>
        <w:autoSpaceDE w:val="0"/>
        <w:autoSpaceDN w:val="0"/>
        <w:spacing w:line="660" w:lineRule="exact"/>
        <w:ind w:firstLine="641" w:firstLineChars="200"/>
        <w:outlineLvl w:val="0"/>
        <w:rPr>
          <w:rFonts w:ascii="仿宋_GB2312" w:hAnsi="仿宋_GB2312" w:eastAsia="仿宋_GB2312" w:cs="仿宋_GB2312"/>
          <w:b/>
          <w:sz w:val="32"/>
          <w:szCs w:val="32"/>
        </w:rPr>
      </w:pPr>
      <w:bookmarkStart w:id="5" w:name="_Toc294623526"/>
      <w:r>
        <w:rPr>
          <w:rFonts w:hint="eastAsia" w:ascii="仿宋_GB2312" w:hAnsi="仿宋_GB2312" w:eastAsia="仿宋_GB2312" w:cs="仿宋_GB2312"/>
          <w:b/>
          <w:sz w:val="32"/>
          <w:szCs w:val="32"/>
        </w:rPr>
        <w:t>五、冷链上报</w:t>
      </w:r>
      <w:bookmarkEnd w:id="5"/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1、单击“冷链上报情况”（图5-1-1），进入“冷链上报情况”页面（图5-1-2），点击“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26695" cy="211455"/>
            <wp:effectExtent l="0" t="0" r="1905" b="17145"/>
            <wp:docPr id="33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6695" cy="21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”按钮，进入“温湿度超标情况”页面（图6-1-3）查看冷藏车温湿度情况。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1530985" cy="1682115"/>
            <wp:effectExtent l="0" t="0" r="12065" b="13335"/>
            <wp:docPr id="3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6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图5-1-1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544185" cy="1847850"/>
            <wp:effectExtent l="0" t="0" r="18415" b="0"/>
            <wp:docPr id="35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图5-1-2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539105" cy="2000250"/>
            <wp:effectExtent l="0" t="0" r="4445" b="0"/>
            <wp:docPr id="2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53910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图5-1-3</w:t>
      </w:r>
    </w:p>
    <w:p>
      <w:pPr>
        <w:ind w:firstLine="480" w:firstLineChars="200"/>
        <w:rPr>
          <w:color w:val="FF0000"/>
          <w:sz w:val="24"/>
        </w:rPr>
      </w:pPr>
    </w:p>
    <w:p>
      <w:pPr>
        <w:ind w:firstLine="480" w:firstLineChars="200"/>
        <w:rPr>
          <w:color w:val="FF0000"/>
          <w:sz w:val="24"/>
        </w:rPr>
      </w:pPr>
    </w:p>
    <w:p>
      <w:pPr>
        <w:ind w:firstLine="480" w:firstLineChars="200"/>
        <w:rPr>
          <w:color w:val="FF0000"/>
          <w:sz w:val="24"/>
        </w:rPr>
      </w:pPr>
    </w:p>
    <w:p>
      <w:pPr>
        <w:autoSpaceDE w:val="0"/>
        <w:autoSpaceDN w:val="0"/>
        <w:ind w:left="360"/>
        <w:outlineLvl w:val="0"/>
        <w:rPr>
          <w:b/>
          <w:sz w:val="28"/>
          <w:szCs w:val="28"/>
        </w:rPr>
      </w:pPr>
      <w:bookmarkStart w:id="6" w:name="_Toc294623527"/>
    </w:p>
    <w:p>
      <w:pPr>
        <w:autoSpaceDE w:val="0"/>
        <w:autoSpaceDN w:val="0"/>
        <w:spacing w:line="660" w:lineRule="exact"/>
        <w:ind w:firstLine="640" w:firstLineChars="200"/>
        <w:outlineLvl w:val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六、上传监控点布局图</w:t>
      </w:r>
      <w:bookmarkEnd w:id="6"/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1、单击“上传监控点布局图”（图6-1-1），进入“上传企业温湿度设备布局图”页面（图6-1-2），点击“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293370" cy="276225"/>
            <wp:effectExtent l="0" t="0" r="11430" b="9525"/>
            <wp:docPr id="2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337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”按钮，进入上传页面（图6-1-3），点击“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864870" cy="233680"/>
            <wp:effectExtent l="0" t="0" r="11430" b="13970"/>
            <wp:docPr id="36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6487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”按钮，选择需上传的图片文件，再点击“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455295" cy="278765"/>
            <wp:effectExtent l="0" t="0" r="1905" b="6985"/>
            <wp:docPr id="3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55295" cy="27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552575" cy="1524635"/>
            <wp:effectExtent l="0" t="0" r="9525" b="18415"/>
            <wp:docPr id="4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图6-1-1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62930" cy="1988820"/>
            <wp:effectExtent l="0" t="0" r="13970" b="11430"/>
            <wp:docPr id="4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6293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图6-1-2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78170" cy="1889760"/>
            <wp:effectExtent l="0" t="0" r="17780" b="15240"/>
            <wp:docPr id="4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7817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图6-1-3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注：须上传的监控点布局图，请市、县局操作人员审核通过后，再将图片上传到系统中。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</w:p>
    <w:p>
      <w:pPr>
        <w:autoSpaceDE w:val="0"/>
        <w:autoSpaceDN w:val="0"/>
        <w:spacing w:line="660" w:lineRule="exact"/>
        <w:ind w:left="360" w:firstLine="641" w:firstLineChars="200"/>
        <w:outlineLvl w:val="0"/>
        <w:rPr>
          <w:rFonts w:ascii="Times New Roman" w:hAnsi="Times New Roman" w:eastAsia="仿宋_GB2312" w:cs="Times New Roman"/>
          <w:b/>
          <w:sz w:val="32"/>
          <w:szCs w:val="32"/>
        </w:rPr>
      </w:pPr>
      <w:bookmarkStart w:id="7" w:name="_Toc294623528"/>
      <w:r>
        <w:rPr>
          <w:rFonts w:ascii="Times New Roman" w:hAnsi="Times New Roman" w:eastAsia="仿宋_GB2312" w:cs="Times New Roman"/>
          <w:b/>
          <w:sz w:val="32"/>
          <w:szCs w:val="32"/>
        </w:rPr>
        <w:t>七、统计查询</w:t>
      </w:r>
      <w:bookmarkEnd w:id="7"/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1、温湿度信息查询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单击“温湿度信息查询”（图7-1-1）后，会显示温湿度情况（图7-1-2），点击“</w:t>
      </w: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182245" cy="207010"/>
            <wp:effectExtent l="0" t="0" r="8255" b="2540"/>
            <wp:docPr id="4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224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sz w:val="32"/>
          <w:szCs w:val="32"/>
        </w:rPr>
        <w:t>”查看温湿度情况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（红色箭头为超高&lt;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drawing>
          <wp:inline distT="0" distB="0" distL="114300" distR="114300">
            <wp:extent cx="993140" cy="180340"/>
            <wp:effectExtent l="0" t="0" r="16510" b="10160"/>
            <wp:docPr id="4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93140" cy="18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&gt;，蓝色箭头为超低&lt;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drawing>
          <wp:inline distT="0" distB="0" distL="114300" distR="114300">
            <wp:extent cx="1141095" cy="174625"/>
            <wp:effectExtent l="0" t="0" r="1905" b="15875"/>
            <wp:docPr id="45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&gt;，括弧内为超过部分的温湿度）。</w:t>
      </w:r>
    </w:p>
    <w:p>
      <w:pPr>
        <w:jc w:val="center"/>
        <w:rPr>
          <w:color w:val="000000"/>
          <w:sz w:val="24"/>
        </w:rPr>
      </w:pPr>
      <w:r>
        <w:rPr>
          <w:color w:val="000000"/>
          <w:sz w:val="24"/>
        </w:rPr>
        <w:drawing>
          <wp:inline distT="0" distB="0" distL="114300" distR="114300">
            <wp:extent cx="1680845" cy="1543050"/>
            <wp:effectExtent l="0" t="0" r="14605" b="0"/>
            <wp:docPr id="47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8084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图7-1-1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57850" cy="1789430"/>
            <wp:effectExtent l="0" t="0" r="0" b="1270"/>
            <wp:docPr id="48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178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图7-1-2</w:t>
      </w:r>
    </w:p>
    <w:p>
      <w:pPr>
        <w:rPr>
          <w:sz w:val="24"/>
        </w:rPr>
      </w:pP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2、企业监测数据查询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点击“企业监测数据查询”（图7-2-1），进入页面查看温湿度情况（图7-2-2），可通过企业名称、监控点号或时间进行查询。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438275" cy="1533525"/>
            <wp:effectExtent l="0" t="0" r="9525" b="9525"/>
            <wp:docPr id="3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图7-2-1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37530" cy="1902460"/>
            <wp:effectExtent l="0" t="0" r="1270" b="2540"/>
            <wp:docPr id="4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190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图7-2-2</w:t>
      </w:r>
    </w:p>
    <w:p>
      <w:pPr>
        <w:jc w:val="center"/>
        <w:rPr>
          <w:sz w:val="24"/>
        </w:rPr>
      </w:pP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3、企业整改通知书查询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单击“企业整改通知书查询”（图7-3-1），进入页面查看整改通知书的处理情况（图7-3-2），可通过企业名称和时间进行查询。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413510" cy="1875155"/>
            <wp:effectExtent l="0" t="0" r="15240" b="10795"/>
            <wp:docPr id="46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13510" cy="187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图7-3-1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83250" cy="1913890"/>
            <wp:effectExtent l="0" t="0" r="12700" b="10160"/>
            <wp:docPr id="18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683250" cy="191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图7-3-2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4、地区整改通知书查询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单击“地区整改通知书查询”（图7-4-1），进入页面查看整改通知书的情况（图7-4-2），可通过地区和时间进行查询。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424305" cy="1753870"/>
            <wp:effectExtent l="0" t="0" r="4445" b="17780"/>
            <wp:docPr id="50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24305" cy="175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图7-4-1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5627370" cy="1615440"/>
            <wp:effectExtent l="0" t="0" r="11430" b="3810"/>
            <wp:docPr id="51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62737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图7-4-2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5、温湿度超标统计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单击“温湿度超标统计”（图7-5-1），进入页面查看市、县的温湿度超标企业情况（图7-5-2），可通过地区和时间进行查询。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1343660" cy="1432560"/>
            <wp:effectExtent l="0" t="0" r="8890" b="15240"/>
            <wp:docPr id="52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436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图7-5-1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5544820" cy="1737360"/>
            <wp:effectExtent l="0" t="0" r="17780" b="15240"/>
            <wp:docPr id="13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54482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图7-5-2</w:t>
      </w:r>
    </w:p>
    <w:p>
      <w:pPr>
        <w:spacing w:line="6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6、市县局登录统计</w:t>
      </w:r>
    </w:p>
    <w:p>
      <w:pPr>
        <w:spacing w:line="6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单击“市县局登录统计”（图7-6-1），进入页面查看市、县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（市、区）</w:t>
      </w:r>
      <w:r>
        <w:rPr>
          <w:rFonts w:ascii="Times New Roman" w:hAnsi="Times New Roman" w:eastAsia="仿宋_GB2312" w:cs="Times New Roman"/>
          <w:sz w:val="32"/>
          <w:szCs w:val="32"/>
        </w:rPr>
        <w:t>局的登录情况（图7-6-2），可通过地区和时间进行查询。</w:t>
      </w:r>
    </w:p>
    <w:p>
      <w:pPr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1287145" cy="1633220"/>
            <wp:effectExtent l="0" t="0" r="8255" b="5080"/>
            <wp:docPr id="3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49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87145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图7-6-1</w:t>
      </w:r>
    </w:p>
    <w:p>
      <w:pPr>
        <w:jc w:val="center"/>
        <w:rPr>
          <w:sz w:val="24"/>
        </w:rPr>
      </w:pPr>
      <w:bookmarkStart w:id="9" w:name="_GoBack"/>
      <w:r>
        <w:rPr>
          <w:sz w:val="24"/>
        </w:rPr>
        <w:drawing>
          <wp:inline distT="0" distB="0" distL="114300" distR="114300">
            <wp:extent cx="5709285" cy="4728210"/>
            <wp:effectExtent l="0" t="0" r="5715" b="15240"/>
            <wp:docPr id="53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0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09285" cy="47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"/>
    </w:p>
    <w:p>
      <w:pPr>
        <w:jc w:val="center"/>
        <w:rPr>
          <w:sz w:val="24"/>
        </w:rPr>
      </w:pPr>
      <w:r>
        <w:rPr>
          <w:rFonts w:hint="eastAsia"/>
          <w:sz w:val="24"/>
        </w:rPr>
        <w:t>图7-6-2</w:t>
      </w:r>
    </w:p>
    <w:p>
      <w:pPr>
        <w:autoSpaceDE w:val="0"/>
        <w:autoSpaceDN w:val="0"/>
        <w:spacing w:line="660" w:lineRule="exact"/>
        <w:ind w:firstLine="640" w:firstLineChars="200"/>
        <w:outlineLvl w:val="0"/>
        <w:rPr>
          <w:rFonts w:ascii="黑体" w:hAnsi="黑体" w:eastAsia="黑体" w:cs="黑体"/>
          <w:bCs/>
          <w:sz w:val="32"/>
          <w:szCs w:val="32"/>
        </w:rPr>
      </w:pPr>
      <w:bookmarkStart w:id="8" w:name="_Toc294623529"/>
      <w:r>
        <w:rPr>
          <w:rFonts w:hint="eastAsia" w:ascii="黑体" w:hAnsi="黑体" w:eastAsia="黑体" w:cs="黑体"/>
          <w:bCs/>
          <w:sz w:val="32"/>
          <w:szCs w:val="32"/>
        </w:rPr>
        <w:t>八、说明</w:t>
      </w:r>
      <w:bookmarkEnd w:id="8"/>
    </w:p>
    <w:p>
      <w:pPr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冷链管理系统地址为：</w:t>
      </w:r>
      <w:r>
        <w:fldChar w:fldCharType="begin"/>
      </w:r>
      <w:r>
        <w:instrText xml:space="preserve"> HYPERLINK "http://WSDLL.zjfda.gov.cn" </w:instrText>
      </w:r>
      <w:r>
        <w:fldChar w:fldCharType="separate"/>
      </w:r>
      <w:r>
        <w:rPr>
          <w:rStyle w:val="18"/>
          <w:rFonts w:ascii="Times New Roman" w:hAnsi="Times New Roman" w:eastAsia="仿宋_GB2312" w:cs="Times New Roman"/>
          <w:sz w:val="32"/>
          <w:szCs w:val="32"/>
        </w:rPr>
        <w:t>http://WSDLL.zjfda.gov.cn</w:t>
      </w:r>
      <w:r>
        <w:rPr>
          <w:rStyle w:val="18"/>
          <w:rFonts w:ascii="Times New Roman" w:hAnsi="Times New Roman" w:eastAsia="仿宋_GB2312" w:cs="Times New Roman"/>
          <w:sz w:val="32"/>
          <w:szCs w:val="32"/>
        </w:rPr>
        <w:fldChar w:fldCharType="end"/>
      </w:r>
      <w:r>
        <w:rPr>
          <w:rFonts w:ascii="Times New Roman" w:hAnsi="Times New Roman" w:eastAsia="仿宋_GB2312" w:cs="Times New Roman"/>
          <w:sz w:val="32"/>
          <w:szCs w:val="32"/>
        </w:rPr>
        <w:t>，操作方法与温湿度在线监管系统基本相同，手册中不再说明。</w:t>
      </w:r>
    </w:p>
    <w:p>
      <w:pPr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altName w:val="汉仪书宋二KW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雪君体简">
    <w:altName w:val="汉仪中等线KW"/>
    <w:panose1 w:val="00000000000000000000"/>
    <w:charset w:val="00"/>
    <w:family w:val="auto"/>
    <w:pitch w:val="default"/>
    <w:sig w:usb0="00000000" w:usb1="00000000" w:usb2="00000012" w:usb3="00000000" w:csb0="00040000" w:csb1="00000000"/>
  </w:font>
  <w:font w:name="华文楷体">
    <w:altName w:val="汉仪楷体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t>1</w: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FC739"/>
    <w:multiLevelType w:val="singleLevel"/>
    <w:tmpl w:val="249FC73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3C02"/>
    <w:rsid w:val="00002B3A"/>
    <w:rsid w:val="00007109"/>
    <w:rsid w:val="00026040"/>
    <w:rsid w:val="00053E77"/>
    <w:rsid w:val="00076007"/>
    <w:rsid w:val="00092ED8"/>
    <w:rsid w:val="000E3C02"/>
    <w:rsid w:val="000F2107"/>
    <w:rsid w:val="00151192"/>
    <w:rsid w:val="001C544F"/>
    <w:rsid w:val="001E3292"/>
    <w:rsid w:val="002060DF"/>
    <w:rsid w:val="00222D5C"/>
    <w:rsid w:val="002414F4"/>
    <w:rsid w:val="00252208"/>
    <w:rsid w:val="00285BC5"/>
    <w:rsid w:val="002E17D3"/>
    <w:rsid w:val="002E3C19"/>
    <w:rsid w:val="003163E9"/>
    <w:rsid w:val="00332A99"/>
    <w:rsid w:val="00334049"/>
    <w:rsid w:val="00352038"/>
    <w:rsid w:val="00357D2D"/>
    <w:rsid w:val="00436E27"/>
    <w:rsid w:val="00450BDE"/>
    <w:rsid w:val="00484F32"/>
    <w:rsid w:val="004C64BF"/>
    <w:rsid w:val="004D429A"/>
    <w:rsid w:val="004F6127"/>
    <w:rsid w:val="005040E6"/>
    <w:rsid w:val="00562FC6"/>
    <w:rsid w:val="0059642D"/>
    <w:rsid w:val="005C553F"/>
    <w:rsid w:val="005D0CA5"/>
    <w:rsid w:val="005D1763"/>
    <w:rsid w:val="005F5F7A"/>
    <w:rsid w:val="00621448"/>
    <w:rsid w:val="00635EED"/>
    <w:rsid w:val="00650F34"/>
    <w:rsid w:val="006A71D9"/>
    <w:rsid w:val="006F526A"/>
    <w:rsid w:val="00702B3A"/>
    <w:rsid w:val="007038BC"/>
    <w:rsid w:val="007360D5"/>
    <w:rsid w:val="00774463"/>
    <w:rsid w:val="00775624"/>
    <w:rsid w:val="007A6F12"/>
    <w:rsid w:val="007B7E4A"/>
    <w:rsid w:val="008050A0"/>
    <w:rsid w:val="00847C7B"/>
    <w:rsid w:val="00892E81"/>
    <w:rsid w:val="008972BC"/>
    <w:rsid w:val="0090430C"/>
    <w:rsid w:val="00907A79"/>
    <w:rsid w:val="00915303"/>
    <w:rsid w:val="00940D56"/>
    <w:rsid w:val="00980941"/>
    <w:rsid w:val="00A011FC"/>
    <w:rsid w:val="00A01F9C"/>
    <w:rsid w:val="00A051FD"/>
    <w:rsid w:val="00A50463"/>
    <w:rsid w:val="00A55EA4"/>
    <w:rsid w:val="00A67659"/>
    <w:rsid w:val="00A83766"/>
    <w:rsid w:val="00A90FB9"/>
    <w:rsid w:val="00A94657"/>
    <w:rsid w:val="00AB55C1"/>
    <w:rsid w:val="00AE6DA7"/>
    <w:rsid w:val="00B90953"/>
    <w:rsid w:val="00BB61BE"/>
    <w:rsid w:val="00C255BE"/>
    <w:rsid w:val="00C41CD0"/>
    <w:rsid w:val="00C44837"/>
    <w:rsid w:val="00C53EB8"/>
    <w:rsid w:val="00C66645"/>
    <w:rsid w:val="00C718AE"/>
    <w:rsid w:val="00C852DB"/>
    <w:rsid w:val="00CA07EB"/>
    <w:rsid w:val="00CD51FA"/>
    <w:rsid w:val="00CE2127"/>
    <w:rsid w:val="00D338AE"/>
    <w:rsid w:val="00D475E3"/>
    <w:rsid w:val="00D72EEB"/>
    <w:rsid w:val="00DC300C"/>
    <w:rsid w:val="00E46F00"/>
    <w:rsid w:val="00E53DAD"/>
    <w:rsid w:val="00EA24AB"/>
    <w:rsid w:val="00EA3680"/>
    <w:rsid w:val="00EC6406"/>
    <w:rsid w:val="00ED3202"/>
    <w:rsid w:val="00ED3A43"/>
    <w:rsid w:val="00F0120E"/>
    <w:rsid w:val="00F1562C"/>
    <w:rsid w:val="00F24EEA"/>
    <w:rsid w:val="00F330CC"/>
    <w:rsid w:val="00F61D11"/>
    <w:rsid w:val="00F83907"/>
    <w:rsid w:val="00FA745B"/>
    <w:rsid w:val="00FB05C7"/>
    <w:rsid w:val="00FC60B7"/>
    <w:rsid w:val="029E2212"/>
    <w:rsid w:val="17CB4FBC"/>
    <w:rsid w:val="2D8F6376"/>
    <w:rsid w:val="377A424F"/>
    <w:rsid w:val="38C151F6"/>
    <w:rsid w:val="3CE6DDC5"/>
    <w:rsid w:val="3DF76935"/>
    <w:rsid w:val="5AFA7D51"/>
    <w:rsid w:val="5BDC22C7"/>
    <w:rsid w:val="66F216D7"/>
    <w:rsid w:val="6A8457DD"/>
    <w:rsid w:val="71D43278"/>
    <w:rsid w:val="74AFF6F8"/>
    <w:rsid w:val="75E57EDE"/>
    <w:rsid w:val="776FDCD2"/>
    <w:rsid w:val="793DD106"/>
    <w:rsid w:val="79A4E909"/>
    <w:rsid w:val="79DF30EA"/>
    <w:rsid w:val="7DCF79CB"/>
    <w:rsid w:val="7E67C2CE"/>
    <w:rsid w:val="7EE31C8F"/>
    <w:rsid w:val="7EF89E82"/>
    <w:rsid w:val="7F6552AB"/>
    <w:rsid w:val="977FFF11"/>
    <w:rsid w:val="B76F3704"/>
    <w:rsid w:val="BFAF07F9"/>
    <w:rsid w:val="BFCFC98C"/>
    <w:rsid w:val="C7B7BDBA"/>
    <w:rsid w:val="C7FFCC82"/>
    <w:rsid w:val="CF7FB98B"/>
    <w:rsid w:val="D8DC0C18"/>
    <w:rsid w:val="DAFF5956"/>
    <w:rsid w:val="DEFFEE56"/>
    <w:rsid w:val="F3F7239C"/>
    <w:rsid w:val="F7AB9EEE"/>
    <w:rsid w:val="FBDF69F7"/>
    <w:rsid w:val="FDEC77DF"/>
    <w:rsid w:val="FDFF69AA"/>
    <w:rsid w:val="FFEE58E4"/>
    <w:rsid w:val="FFF79789"/>
    <w:rsid w:val="FFFDE3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8"/>
    <w:semiHidden/>
    <w:unhideWhenUsed/>
    <w:qFormat/>
    <w:uiPriority w:val="99"/>
    <w:pPr>
      <w:jc w:val="left"/>
    </w:p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7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1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annotation subject"/>
    <w:basedOn w:val="5"/>
    <w:next w:val="5"/>
    <w:link w:val="29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7">
    <w:name w:val="FollowedHyperlink"/>
    <w:basedOn w:val="16"/>
    <w:semiHidden/>
    <w:unhideWhenUsed/>
    <w:uiPriority w:val="99"/>
    <w:rPr>
      <w:color w:val="954F72" w:themeColor="followedHyperlink"/>
      <w:u w:val="single"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character" w:styleId="19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9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8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CharAttribute3"/>
    <w:qFormat/>
    <w:uiPriority w:val="0"/>
    <w:rPr>
      <w:rFonts w:hint="eastAsia" w:ascii="仿宋_GB2312" w:hAnsi="Calibri" w:eastAsia="Times New Roman"/>
      <w:sz w:val="32"/>
    </w:rPr>
  </w:style>
  <w:style w:type="paragraph" w:customStyle="1" w:styleId="24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paragraph" w:customStyle="1" w:styleId="25">
    <w:name w:val="Code"/>
    <w:basedOn w:val="1"/>
    <w:qFormat/>
    <w:uiPriority w:val="0"/>
    <w:pPr>
      <w:shd w:val="clear" w:color="auto" w:fill="D9D9D9"/>
      <w:jc w:val="left"/>
    </w:pPr>
    <w:rPr>
      <w:rFonts w:ascii="Calibri" w:hAnsi="Calibri" w:eastAsia="新宋体" w:cs="Times New Roman"/>
      <w:kern w:val="0"/>
      <w:szCs w:val="21"/>
    </w:rPr>
  </w:style>
  <w:style w:type="paragraph" w:customStyle="1" w:styleId="26">
    <w:name w:val="_Style 2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 w:cs="Times New Roman"/>
      <w:color w:val="365F91"/>
      <w:kern w:val="0"/>
      <w:sz w:val="28"/>
      <w:szCs w:val="28"/>
    </w:rPr>
  </w:style>
  <w:style w:type="character" w:customStyle="1" w:styleId="27">
    <w:name w:val="批注框文本 字符"/>
    <w:basedOn w:val="16"/>
    <w:link w:val="7"/>
    <w:semiHidden/>
    <w:qFormat/>
    <w:uiPriority w:val="99"/>
    <w:rPr>
      <w:kern w:val="2"/>
      <w:sz w:val="18"/>
      <w:szCs w:val="18"/>
    </w:rPr>
  </w:style>
  <w:style w:type="character" w:customStyle="1" w:styleId="28">
    <w:name w:val="批注文字 字符"/>
    <w:basedOn w:val="16"/>
    <w:link w:val="5"/>
    <w:semiHidden/>
    <w:qFormat/>
    <w:uiPriority w:val="99"/>
    <w:rPr>
      <w:kern w:val="2"/>
      <w:sz w:val="21"/>
      <w:szCs w:val="22"/>
    </w:rPr>
  </w:style>
  <w:style w:type="character" w:customStyle="1" w:styleId="29">
    <w:name w:val="批注主题 字符"/>
    <w:basedOn w:val="28"/>
    <w:link w:val="13"/>
    <w:semiHidden/>
    <w:qFormat/>
    <w:uiPriority w:val="99"/>
    <w:rPr>
      <w:b/>
      <w:bCs/>
      <w:kern w:val="2"/>
      <w:sz w:val="21"/>
      <w:szCs w:val="22"/>
    </w:rPr>
  </w:style>
  <w:style w:type="character" w:customStyle="1" w:styleId="30">
    <w:name w:val="Unresolved Mention"/>
    <w:basedOn w:val="1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6" Type="http://schemas.openxmlformats.org/officeDocument/2006/relationships/fontTable" Target="fontTable.xml"/><Relationship Id="rId55" Type="http://schemas.openxmlformats.org/officeDocument/2006/relationships/numbering" Target="numbering.xml"/><Relationship Id="rId54" Type="http://schemas.openxmlformats.org/officeDocument/2006/relationships/customXml" Target="../customXml/item1.xml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19</Pages>
  <Words>500</Words>
  <Characters>2850</Characters>
  <Lines>23</Lines>
  <Paragraphs>6</Paragraphs>
  <TotalTime>13</TotalTime>
  <ScaleCrop>false</ScaleCrop>
  <LinksUpToDate>false</LinksUpToDate>
  <CharactersWithSpaces>3344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2021-12-05T05:12:00Z</dcterms:created>
  <dc:creator>王蓓</dc:creator>
  <cp:lastModifiedBy>陈竹林</cp:lastModifiedBy>
  <dcterms:modified xsi:type="dcterms:W3CDTF">2022-01-05T08:41:25Z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